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7D915" w14:textId="77777777" w:rsidR="005B5C30" w:rsidRDefault="005B5C30" w:rsidP="005B5C3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附件7</w:t>
      </w:r>
    </w:p>
    <w:p w14:paraId="5EBFE1E2" w14:textId="77777777" w:rsidR="005B5C30" w:rsidRDefault="005B5C30" w:rsidP="005B5C30">
      <w:pPr>
        <w:tabs>
          <w:tab w:val="left" w:pos="1226"/>
        </w:tabs>
        <w:jc w:val="center"/>
        <w:rPr>
          <w:rFonts w:asciiTheme="majorEastAsia" w:eastAsiaTheme="majorEastAsia" w:hAnsiTheme="majorEastAsia"/>
          <w:sz w:val="44"/>
          <w:szCs w:val="44"/>
        </w:rPr>
      </w:pPr>
      <w:r w:rsidRPr="00C74C24">
        <w:rPr>
          <w:rFonts w:asciiTheme="majorEastAsia" w:eastAsiaTheme="majorEastAsia" w:hAnsiTheme="majorEastAsia" w:hint="eastAsia"/>
          <w:sz w:val="44"/>
          <w:szCs w:val="44"/>
        </w:rPr>
        <w:t>服务方案</w:t>
      </w:r>
    </w:p>
    <w:p w14:paraId="02497120" w14:textId="77777777" w:rsidR="005B5C30" w:rsidRDefault="005B5C30" w:rsidP="005B5C30">
      <w:pPr>
        <w:widowControl/>
        <w:jc w:val="left"/>
        <w:rPr>
          <w:rFonts w:asciiTheme="majorEastAsia" w:eastAsiaTheme="majorEastAsia" w:hAnsiTheme="majorEastAsia"/>
          <w:sz w:val="44"/>
          <w:szCs w:val="44"/>
        </w:rPr>
      </w:pPr>
    </w:p>
    <w:p w14:paraId="568579D1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1.服务团队，包括工作机制、团队人员构成、职级、从业经验等。</w:t>
      </w:r>
    </w:p>
    <w:tbl>
      <w:tblPr>
        <w:tblStyle w:val="a5"/>
        <w:tblW w:w="9464" w:type="dxa"/>
        <w:jc w:val="center"/>
        <w:tblLook w:val="04A0" w:firstRow="1" w:lastRow="0" w:firstColumn="1" w:lastColumn="0" w:noHBand="0" w:noVBand="1"/>
      </w:tblPr>
      <w:tblGrid>
        <w:gridCol w:w="1526"/>
        <w:gridCol w:w="709"/>
        <w:gridCol w:w="1321"/>
        <w:gridCol w:w="663"/>
        <w:gridCol w:w="1276"/>
        <w:gridCol w:w="1276"/>
        <w:gridCol w:w="1605"/>
        <w:gridCol w:w="1088"/>
      </w:tblGrid>
      <w:tr w:rsidR="005B5C30" w14:paraId="01FCA7B5" w14:textId="77777777" w:rsidTr="00D1755C">
        <w:trPr>
          <w:jc w:val="center"/>
        </w:trPr>
        <w:tc>
          <w:tcPr>
            <w:tcW w:w="1526" w:type="dxa"/>
          </w:tcPr>
          <w:p w14:paraId="599F32AC" w14:textId="77777777" w:rsidR="005B5C30" w:rsidRPr="0036234A" w:rsidRDefault="005B5C30" w:rsidP="00D1755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团队构成</w:t>
            </w:r>
          </w:p>
        </w:tc>
        <w:tc>
          <w:tcPr>
            <w:tcW w:w="709" w:type="dxa"/>
          </w:tcPr>
          <w:p w14:paraId="4B67E8F8" w14:textId="77777777" w:rsidR="005B5C30" w:rsidRPr="0036234A" w:rsidRDefault="005B5C30" w:rsidP="00D1755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21" w:type="dxa"/>
          </w:tcPr>
          <w:p w14:paraId="6C614EED" w14:textId="77777777" w:rsidR="005B5C30" w:rsidRPr="0036234A" w:rsidRDefault="005B5C30" w:rsidP="00D1755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所属单位及部门</w:t>
            </w:r>
          </w:p>
        </w:tc>
        <w:tc>
          <w:tcPr>
            <w:tcW w:w="663" w:type="dxa"/>
          </w:tcPr>
          <w:p w14:paraId="6C1DDC52" w14:textId="77777777" w:rsidR="005B5C30" w:rsidRPr="0036234A" w:rsidRDefault="005B5C30" w:rsidP="00D1755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职级</w:t>
            </w:r>
          </w:p>
        </w:tc>
        <w:tc>
          <w:tcPr>
            <w:tcW w:w="1276" w:type="dxa"/>
          </w:tcPr>
          <w:p w14:paraId="509A2A4D" w14:textId="77777777" w:rsidR="005B5C30" w:rsidRPr="0036234A" w:rsidRDefault="005B5C30" w:rsidP="00D1755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对公业务从业年限</w:t>
            </w:r>
          </w:p>
        </w:tc>
        <w:tc>
          <w:tcPr>
            <w:tcW w:w="1276" w:type="dxa"/>
          </w:tcPr>
          <w:p w14:paraId="4555B732" w14:textId="77777777" w:rsidR="005B5C30" w:rsidRPr="0036234A" w:rsidRDefault="005B5C30" w:rsidP="00D1755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联系方式(手机)</w:t>
            </w:r>
          </w:p>
        </w:tc>
        <w:tc>
          <w:tcPr>
            <w:tcW w:w="1605" w:type="dxa"/>
          </w:tcPr>
          <w:p w14:paraId="0461D03C" w14:textId="77777777" w:rsidR="005B5C30" w:rsidRPr="0036234A" w:rsidRDefault="005B5C30" w:rsidP="00D1755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是否为提供日常服务的联系人</w:t>
            </w:r>
          </w:p>
        </w:tc>
        <w:tc>
          <w:tcPr>
            <w:tcW w:w="1088" w:type="dxa"/>
          </w:tcPr>
          <w:p w14:paraId="377E43D2" w14:textId="77777777" w:rsidR="005B5C30" w:rsidRPr="0036234A" w:rsidRDefault="005B5C30" w:rsidP="00D1755C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其他需要说明的情况</w:t>
            </w:r>
          </w:p>
        </w:tc>
      </w:tr>
      <w:tr w:rsidR="005B5C30" w14:paraId="74D36F52" w14:textId="77777777" w:rsidTr="00D1755C">
        <w:trPr>
          <w:jc w:val="center"/>
        </w:trPr>
        <w:tc>
          <w:tcPr>
            <w:tcW w:w="1526" w:type="dxa"/>
          </w:tcPr>
          <w:p w14:paraId="54BA8B1E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7112F">
              <w:rPr>
                <w:rFonts w:ascii="仿宋" w:eastAsia="仿宋" w:hAnsi="仿宋" w:hint="eastAsia"/>
                <w:sz w:val="24"/>
                <w:szCs w:val="24"/>
              </w:rPr>
              <w:t>团队负责人</w:t>
            </w:r>
          </w:p>
        </w:tc>
        <w:tc>
          <w:tcPr>
            <w:tcW w:w="709" w:type="dxa"/>
          </w:tcPr>
          <w:p w14:paraId="1377D8DE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7C77464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3" w:type="dxa"/>
          </w:tcPr>
          <w:p w14:paraId="39C925ED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C0C9D7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0C27A8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45A16E6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F2D383E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14:paraId="46EC9A21" w14:textId="77777777" w:rsidTr="00D1755C">
        <w:trPr>
          <w:jc w:val="center"/>
        </w:trPr>
        <w:tc>
          <w:tcPr>
            <w:tcW w:w="1526" w:type="dxa"/>
          </w:tcPr>
          <w:p w14:paraId="6E62A3F5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7112F">
              <w:rPr>
                <w:rFonts w:ascii="仿宋" w:eastAsia="仿宋" w:hAnsi="仿宋" w:hint="eastAsia"/>
                <w:sz w:val="24"/>
                <w:szCs w:val="24"/>
              </w:rPr>
              <w:t>团队成员</w:t>
            </w:r>
          </w:p>
        </w:tc>
        <w:tc>
          <w:tcPr>
            <w:tcW w:w="709" w:type="dxa"/>
          </w:tcPr>
          <w:p w14:paraId="5938E1EB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63FCE35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3" w:type="dxa"/>
          </w:tcPr>
          <w:p w14:paraId="08D6BF4B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75536C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0E3265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4B03691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72A257B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14:paraId="27164F29" w14:textId="77777777" w:rsidTr="00D1755C">
        <w:trPr>
          <w:jc w:val="center"/>
        </w:trPr>
        <w:tc>
          <w:tcPr>
            <w:tcW w:w="1526" w:type="dxa"/>
          </w:tcPr>
          <w:p w14:paraId="7DE1B189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7112F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709" w:type="dxa"/>
          </w:tcPr>
          <w:p w14:paraId="5664D4E5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5484668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3" w:type="dxa"/>
          </w:tcPr>
          <w:p w14:paraId="70C1EF3A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037031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F3E5D6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0C51B03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4A9F485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14:paraId="45EFD821" w14:textId="77777777" w:rsidTr="00D1755C">
        <w:trPr>
          <w:jc w:val="center"/>
        </w:trPr>
        <w:tc>
          <w:tcPr>
            <w:tcW w:w="3556" w:type="dxa"/>
            <w:gridSpan w:val="3"/>
          </w:tcPr>
          <w:p w14:paraId="1DE7A9C2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7112F">
              <w:rPr>
                <w:rFonts w:ascii="仿宋" w:eastAsia="仿宋" w:hAnsi="仿宋" w:hint="eastAsia"/>
                <w:sz w:val="24"/>
                <w:szCs w:val="24"/>
              </w:rPr>
              <w:t>团队人员数量合计</w:t>
            </w:r>
          </w:p>
        </w:tc>
        <w:tc>
          <w:tcPr>
            <w:tcW w:w="5908" w:type="dxa"/>
            <w:gridSpan w:val="5"/>
          </w:tcPr>
          <w:p w14:paraId="5B6828BE" w14:textId="77777777" w:rsidR="005B5C30" w:rsidRPr="0037112F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D4336B8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2.资金流动性保障方案，包括是否提供与人民银行大小额支付系统运行时间一致的资金汇</w:t>
      </w:r>
      <w:proofErr w:type="gramStart"/>
      <w:r>
        <w:rPr>
          <w:rFonts w:ascii="仿宋" w:eastAsia="仿宋" w:hAnsi="仿宋" w:hint="eastAsia"/>
          <w:sz w:val="32"/>
          <w:szCs w:val="32"/>
        </w:rPr>
        <w:t>划渠道</w:t>
      </w:r>
      <w:proofErr w:type="gramEnd"/>
      <w:r>
        <w:rPr>
          <w:rFonts w:ascii="仿宋" w:eastAsia="仿宋" w:hAnsi="仿宋" w:hint="eastAsia"/>
          <w:sz w:val="32"/>
          <w:szCs w:val="32"/>
        </w:rPr>
        <w:t>服务；是否允许定期存款提前支取。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B5C30" w:rsidRPr="0036234A" w14:paraId="4AA1B3A5" w14:textId="77777777" w:rsidTr="00D1755C">
        <w:tc>
          <w:tcPr>
            <w:tcW w:w="2840" w:type="dxa"/>
            <w:vAlign w:val="center"/>
          </w:tcPr>
          <w:p w14:paraId="3696E452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资金流动性保障方案</w:t>
            </w:r>
          </w:p>
        </w:tc>
        <w:tc>
          <w:tcPr>
            <w:tcW w:w="2841" w:type="dxa"/>
            <w:vAlign w:val="center"/>
          </w:tcPr>
          <w:p w14:paraId="55C1EF76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是否提供</w:t>
            </w:r>
          </w:p>
          <w:p w14:paraId="0C0C5B43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（是请填√，</w:t>
            </w:r>
            <w:proofErr w:type="gramStart"/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否请填</w:t>
            </w:r>
            <w:proofErr w:type="gramEnd"/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×）</w:t>
            </w:r>
          </w:p>
        </w:tc>
        <w:tc>
          <w:tcPr>
            <w:tcW w:w="2841" w:type="dxa"/>
            <w:vAlign w:val="center"/>
          </w:tcPr>
          <w:p w14:paraId="5115C133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B5C30" w:rsidRPr="0036234A" w14:paraId="62178BFE" w14:textId="77777777" w:rsidTr="00D1755C">
        <w:tc>
          <w:tcPr>
            <w:tcW w:w="2840" w:type="dxa"/>
            <w:vAlign w:val="center"/>
          </w:tcPr>
          <w:p w14:paraId="38758CEB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sz w:val="24"/>
                <w:szCs w:val="24"/>
              </w:rPr>
              <w:t>与人民银行大小额支付系统运行时间一致的资金汇</w:t>
            </w:r>
            <w:proofErr w:type="gramStart"/>
            <w:r w:rsidRPr="0036234A">
              <w:rPr>
                <w:rFonts w:ascii="仿宋" w:eastAsia="仿宋" w:hAnsi="仿宋" w:hint="eastAsia"/>
                <w:sz w:val="24"/>
                <w:szCs w:val="24"/>
              </w:rPr>
              <w:t>划渠道</w:t>
            </w:r>
            <w:proofErr w:type="gramEnd"/>
            <w:r w:rsidRPr="0036234A">
              <w:rPr>
                <w:rFonts w:ascii="仿宋" w:eastAsia="仿宋" w:hAnsi="仿宋" w:hint="eastAsia"/>
                <w:sz w:val="24"/>
                <w:szCs w:val="24"/>
              </w:rPr>
              <w:t>服务</w:t>
            </w:r>
          </w:p>
        </w:tc>
        <w:tc>
          <w:tcPr>
            <w:tcW w:w="2841" w:type="dxa"/>
            <w:vAlign w:val="center"/>
          </w:tcPr>
          <w:p w14:paraId="10ABF442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FC63622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7405A109" w14:textId="77777777" w:rsidTr="00D1755C">
        <w:tc>
          <w:tcPr>
            <w:tcW w:w="2840" w:type="dxa"/>
            <w:vAlign w:val="center"/>
          </w:tcPr>
          <w:p w14:paraId="3C6280B7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sz w:val="24"/>
                <w:szCs w:val="24"/>
              </w:rPr>
              <w:t>允许定期存款提前支取</w:t>
            </w:r>
          </w:p>
        </w:tc>
        <w:tc>
          <w:tcPr>
            <w:tcW w:w="2841" w:type="dxa"/>
            <w:vAlign w:val="center"/>
          </w:tcPr>
          <w:p w14:paraId="29F0C679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4FAC935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6FFCB9C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3.信息化建设，包括是否可通过网上银行、</w:t>
      </w:r>
      <w:proofErr w:type="gramStart"/>
      <w:r>
        <w:rPr>
          <w:rFonts w:ascii="仿宋" w:eastAsia="仿宋" w:hAnsi="仿宋" w:hint="eastAsia"/>
          <w:sz w:val="32"/>
          <w:szCs w:val="32"/>
        </w:rPr>
        <w:t>银企直联</w:t>
      </w:r>
      <w:proofErr w:type="gramEnd"/>
      <w:r>
        <w:rPr>
          <w:rFonts w:ascii="仿宋" w:eastAsia="仿宋" w:hAnsi="仿宋" w:hint="eastAsia"/>
          <w:sz w:val="32"/>
          <w:szCs w:val="32"/>
        </w:rPr>
        <w:t>等线上系统完成资金划转、回单和对账单下载、办理存款业务等，请提供文字说明。</w:t>
      </w:r>
    </w:p>
    <w:p w14:paraId="6E32E487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4.费用减免，可为存放单位减免的手续费、服务费等相关费用的情况，包括开户费、账户管理费、汇款手续费、证书年费、</w:t>
      </w:r>
      <w:proofErr w:type="gramStart"/>
      <w:r>
        <w:rPr>
          <w:rFonts w:ascii="仿宋" w:eastAsia="仿宋" w:hAnsi="仿宋" w:hint="eastAsia"/>
          <w:sz w:val="32"/>
          <w:szCs w:val="32"/>
        </w:rPr>
        <w:t>银行函证费</w:t>
      </w:r>
      <w:proofErr w:type="gramEnd"/>
      <w:r>
        <w:rPr>
          <w:rFonts w:ascii="仿宋" w:eastAsia="仿宋" w:hAnsi="仿宋" w:hint="eastAsia"/>
          <w:sz w:val="32"/>
          <w:szCs w:val="32"/>
        </w:rPr>
        <w:t>、各类票据工本费、</w:t>
      </w:r>
      <w:r w:rsidRPr="004646AB">
        <w:rPr>
          <w:rFonts w:ascii="仿宋" w:eastAsia="仿宋" w:hAnsi="仿宋" w:hint="eastAsia"/>
          <w:sz w:val="32"/>
          <w:szCs w:val="32"/>
        </w:rPr>
        <w:t>余额变动短信提醒费、银企互联对接费</w:t>
      </w:r>
      <w:r>
        <w:rPr>
          <w:rFonts w:ascii="仿宋" w:eastAsia="仿宋" w:hAnsi="仿宋" w:hint="eastAsia"/>
          <w:sz w:val="32"/>
          <w:szCs w:val="32"/>
        </w:rPr>
        <w:t>等。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2602"/>
      </w:tblGrid>
      <w:tr w:rsidR="005B5C30" w:rsidRPr="0036234A" w14:paraId="029299F7" w14:textId="77777777" w:rsidTr="00D1755C">
        <w:tc>
          <w:tcPr>
            <w:tcW w:w="3227" w:type="dxa"/>
            <w:vAlign w:val="center"/>
          </w:tcPr>
          <w:p w14:paraId="31760C79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费用种类</w:t>
            </w:r>
          </w:p>
        </w:tc>
        <w:tc>
          <w:tcPr>
            <w:tcW w:w="2693" w:type="dxa"/>
            <w:vAlign w:val="center"/>
          </w:tcPr>
          <w:p w14:paraId="18C95A7F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可减免</w:t>
            </w:r>
          </w:p>
          <w:p w14:paraId="7FA17A1F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（是请填√，</w:t>
            </w:r>
            <w:proofErr w:type="gramStart"/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否请填</w:t>
            </w:r>
            <w:proofErr w:type="gramEnd"/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×）</w:t>
            </w:r>
          </w:p>
        </w:tc>
        <w:tc>
          <w:tcPr>
            <w:tcW w:w="2602" w:type="dxa"/>
            <w:vAlign w:val="center"/>
          </w:tcPr>
          <w:p w14:paraId="70D6FC1B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如收费，请注明费用类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别及标准</w:t>
            </w:r>
          </w:p>
        </w:tc>
      </w:tr>
      <w:tr w:rsidR="005B5C30" w:rsidRPr="0036234A" w14:paraId="3220463E" w14:textId="77777777" w:rsidTr="00D1755C">
        <w:tc>
          <w:tcPr>
            <w:tcW w:w="3227" w:type="dxa"/>
            <w:vAlign w:val="center"/>
          </w:tcPr>
          <w:p w14:paraId="4D293979" w14:textId="77777777" w:rsidR="005B5C30" w:rsidRPr="0036234A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是否</w:t>
            </w:r>
            <w:r w:rsidRPr="002A0209">
              <w:rPr>
                <w:rFonts w:ascii="仿宋" w:eastAsia="仿宋" w:hAnsi="仿宋" w:hint="eastAsia"/>
                <w:sz w:val="24"/>
                <w:szCs w:val="24"/>
              </w:rPr>
              <w:t>可为存放单位减免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全部手续费、服务费等相关费用</w:t>
            </w:r>
          </w:p>
        </w:tc>
        <w:tc>
          <w:tcPr>
            <w:tcW w:w="2693" w:type="dxa"/>
            <w:vAlign w:val="center"/>
          </w:tcPr>
          <w:p w14:paraId="418EBF43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1C4C31D4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09AB2642" w14:textId="77777777" w:rsidTr="00D1755C">
        <w:tc>
          <w:tcPr>
            <w:tcW w:w="3227" w:type="dxa"/>
            <w:vAlign w:val="center"/>
          </w:tcPr>
          <w:p w14:paraId="1B338328" w14:textId="77777777" w:rsidR="005B5C30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其中：开户费</w:t>
            </w:r>
          </w:p>
        </w:tc>
        <w:tc>
          <w:tcPr>
            <w:tcW w:w="2693" w:type="dxa"/>
            <w:vAlign w:val="center"/>
          </w:tcPr>
          <w:p w14:paraId="223B45B6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56EE2916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0D67C2A6" w14:textId="77777777" w:rsidTr="00D1755C">
        <w:tc>
          <w:tcPr>
            <w:tcW w:w="3227" w:type="dxa"/>
            <w:vAlign w:val="center"/>
          </w:tcPr>
          <w:p w14:paraId="05E76FB9" w14:textId="77777777" w:rsidR="005B5C30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账户管理费</w:t>
            </w:r>
          </w:p>
        </w:tc>
        <w:tc>
          <w:tcPr>
            <w:tcW w:w="2693" w:type="dxa"/>
            <w:vAlign w:val="center"/>
          </w:tcPr>
          <w:p w14:paraId="1AB5B319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47A483F9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379DD663" w14:textId="77777777" w:rsidTr="00D1755C">
        <w:tc>
          <w:tcPr>
            <w:tcW w:w="3227" w:type="dxa"/>
            <w:vAlign w:val="center"/>
          </w:tcPr>
          <w:p w14:paraId="60A30FF4" w14:textId="77777777" w:rsidR="005B5C30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A0209">
              <w:rPr>
                <w:rFonts w:ascii="仿宋" w:eastAsia="仿宋" w:hAnsi="仿宋" w:hint="eastAsia"/>
                <w:sz w:val="24"/>
                <w:szCs w:val="24"/>
              </w:rPr>
              <w:t>汇款手续费</w:t>
            </w:r>
          </w:p>
        </w:tc>
        <w:tc>
          <w:tcPr>
            <w:tcW w:w="2693" w:type="dxa"/>
            <w:vAlign w:val="center"/>
          </w:tcPr>
          <w:p w14:paraId="6AA7DF93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453905BC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05579DBC" w14:textId="77777777" w:rsidTr="00D1755C">
        <w:tc>
          <w:tcPr>
            <w:tcW w:w="3227" w:type="dxa"/>
            <w:vAlign w:val="center"/>
          </w:tcPr>
          <w:p w14:paraId="3D366CAE" w14:textId="77777777" w:rsidR="005B5C30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A0209">
              <w:rPr>
                <w:rFonts w:ascii="仿宋" w:eastAsia="仿宋" w:hAnsi="仿宋" w:hint="eastAsia"/>
                <w:sz w:val="24"/>
                <w:szCs w:val="24"/>
              </w:rPr>
              <w:t>证书年费</w:t>
            </w:r>
          </w:p>
        </w:tc>
        <w:tc>
          <w:tcPr>
            <w:tcW w:w="2693" w:type="dxa"/>
            <w:vAlign w:val="center"/>
          </w:tcPr>
          <w:p w14:paraId="6BF42B72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1133A542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37A04E32" w14:textId="77777777" w:rsidTr="00D1755C">
        <w:tc>
          <w:tcPr>
            <w:tcW w:w="3227" w:type="dxa"/>
            <w:vAlign w:val="center"/>
          </w:tcPr>
          <w:p w14:paraId="0D4AF716" w14:textId="77777777" w:rsidR="005B5C30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A0209">
              <w:rPr>
                <w:rFonts w:ascii="仿宋" w:eastAsia="仿宋" w:hAnsi="仿宋" w:hint="eastAsia"/>
                <w:sz w:val="24"/>
                <w:szCs w:val="24"/>
              </w:rPr>
              <w:t>银行函证费</w:t>
            </w:r>
            <w:proofErr w:type="gramEnd"/>
          </w:p>
        </w:tc>
        <w:tc>
          <w:tcPr>
            <w:tcW w:w="2693" w:type="dxa"/>
            <w:vAlign w:val="center"/>
          </w:tcPr>
          <w:p w14:paraId="0FF5CCE7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63C27F73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289C63F6" w14:textId="77777777" w:rsidTr="00D1755C">
        <w:tc>
          <w:tcPr>
            <w:tcW w:w="3227" w:type="dxa"/>
            <w:vAlign w:val="center"/>
          </w:tcPr>
          <w:p w14:paraId="1BE4B1D4" w14:textId="77777777" w:rsidR="005B5C30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A0209">
              <w:rPr>
                <w:rFonts w:ascii="仿宋" w:eastAsia="仿宋" w:hAnsi="仿宋" w:hint="eastAsia"/>
                <w:sz w:val="24"/>
                <w:szCs w:val="24"/>
              </w:rPr>
              <w:t>各类票据工本费</w:t>
            </w:r>
          </w:p>
        </w:tc>
        <w:tc>
          <w:tcPr>
            <w:tcW w:w="2693" w:type="dxa"/>
            <w:vAlign w:val="center"/>
          </w:tcPr>
          <w:p w14:paraId="2F86C771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609E0115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53043591" w14:textId="77777777" w:rsidTr="00D1755C">
        <w:tc>
          <w:tcPr>
            <w:tcW w:w="3227" w:type="dxa"/>
            <w:vAlign w:val="center"/>
          </w:tcPr>
          <w:p w14:paraId="12B3AC56" w14:textId="77777777" w:rsidR="005B5C30" w:rsidRPr="004646AB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646AB">
              <w:rPr>
                <w:rFonts w:ascii="仿宋" w:eastAsia="仿宋" w:hAnsi="仿宋" w:hint="eastAsia"/>
                <w:sz w:val="24"/>
                <w:szCs w:val="24"/>
              </w:rPr>
              <w:t>余额变动短信提醒费</w:t>
            </w:r>
          </w:p>
        </w:tc>
        <w:tc>
          <w:tcPr>
            <w:tcW w:w="2693" w:type="dxa"/>
            <w:vAlign w:val="center"/>
          </w:tcPr>
          <w:p w14:paraId="11E71C29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6A301E38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1867EFAE" w14:textId="77777777" w:rsidTr="00D1755C">
        <w:tc>
          <w:tcPr>
            <w:tcW w:w="3227" w:type="dxa"/>
            <w:vAlign w:val="center"/>
          </w:tcPr>
          <w:p w14:paraId="6387D2BE" w14:textId="77777777" w:rsidR="005B5C30" w:rsidRPr="004646AB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646AB">
              <w:rPr>
                <w:rFonts w:ascii="仿宋" w:eastAsia="仿宋" w:hAnsi="仿宋" w:hint="eastAsia"/>
                <w:sz w:val="24"/>
                <w:szCs w:val="24"/>
              </w:rPr>
              <w:t>银企互联对接费</w:t>
            </w:r>
          </w:p>
        </w:tc>
        <w:tc>
          <w:tcPr>
            <w:tcW w:w="2693" w:type="dxa"/>
            <w:vAlign w:val="center"/>
          </w:tcPr>
          <w:p w14:paraId="6CAC9F68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356C5790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7BB46F13" w14:textId="77777777" w:rsidTr="00D1755C">
        <w:tc>
          <w:tcPr>
            <w:tcW w:w="3227" w:type="dxa"/>
            <w:vAlign w:val="center"/>
          </w:tcPr>
          <w:p w14:paraId="66629ACF" w14:textId="77777777" w:rsidR="005B5C30" w:rsidRPr="002A0209" w:rsidRDefault="005B5C30" w:rsidP="00D1755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其他收费事项（如有，则填列）</w:t>
            </w:r>
          </w:p>
        </w:tc>
        <w:tc>
          <w:tcPr>
            <w:tcW w:w="2693" w:type="dxa"/>
            <w:vAlign w:val="center"/>
          </w:tcPr>
          <w:p w14:paraId="6FD9E4AB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15265C6D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41635EB" w14:textId="77777777" w:rsidR="005B5C30" w:rsidRDefault="005B5C30" w:rsidP="005B5C30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5.上门及对账服务，包括是否提供上门开户、销户、变更账户信息服务；是否提供上门收取和递送资料服务；是否提供上门对账服务。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2602"/>
      </w:tblGrid>
      <w:tr w:rsidR="005B5C30" w:rsidRPr="0036234A" w14:paraId="49C35D6A" w14:textId="77777777" w:rsidTr="00D1755C">
        <w:tc>
          <w:tcPr>
            <w:tcW w:w="3085" w:type="dxa"/>
            <w:vAlign w:val="center"/>
          </w:tcPr>
          <w:p w14:paraId="731F68B0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服务种类</w:t>
            </w:r>
          </w:p>
        </w:tc>
        <w:tc>
          <w:tcPr>
            <w:tcW w:w="2835" w:type="dxa"/>
            <w:vAlign w:val="center"/>
          </w:tcPr>
          <w:p w14:paraId="17000C7E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是否提供</w:t>
            </w:r>
          </w:p>
          <w:p w14:paraId="77EC0E9E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（是请填√，</w:t>
            </w:r>
            <w:proofErr w:type="gramStart"/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否请填</w:t>
            </w:r>
            <w:proofErr w:type="gramEnd"/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×）</w:t>
            </w:r>
          </w:p>
        </w:tc>
        <w:tc>
          <w:tcPr>
            <w:tcW w:w="2602" w:type="dxa"/>
            <w:vAlign w:val="center"/>
          </w:tcPr>
          <w:p w14:paraId="35F9C33A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6234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B5C30" w:rsidRPr="0036234A" w14:paraId="712982C7" w14:textId="77777777" w:rsidTr="00D1755C">
        <w:tc>
          <w:tcPr>
            <w:tcW w:w="3085" w:type="dxa"/>
            <w:vAlign w:val="center"/>
          </w:tcPr>
          <w:p w14:paraId="66E38113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04054">
              <w:rPr>
                <w:rFonts w:ascii="仿宋" w:eastAsia="仿宋" w:hAnsi="仿宋" w:hint="eastAsia"/>
                <w:sz w:val="24"/>
                <w:szCs w:val="24"/>
              </w:rPr>
              <w:t>上门开户、销户、变更账户信息服务</w:t>
            </w:r>
          </w:p>
        </w:tc>
        <w:tc>
          <w:tcPr>
            <w:tcW w:w="2835" w:type="dxa"/>
            <w:vAlign w:val="center"/>
          </w:tcPr>
          <w:p w14:paraId="40DBA060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44A460FC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144FE7E0" w14:textId="77777777" w:rsidTr="00D1755C">
        <w:tc>
          <w:tcPr>
            <w:tcW w:w="3085" w:type="dxa"/>
            <w:vAlign w:val="center"/>
          </w:tcPr>
          <w:p w14:paraId="608B0753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04054">
              <w:rPr>
                <w:rFonts w:ascii="仿宋" w:eastAsia="仿宋" w:hAnsi="仿宋" w:hint="eastAsia"/>
                <w:sz w:val="24"/>
                <w:szCs w:val="24"/>
              </w:rPr>
              <w:t>上门收取和递送资料服务</w:t>
            </w:r>
          </w:p>
        </w:tc>
        <w:tc>
          <w:tcPr>
            <w:tcW w:w="2835" w:type="dxa"/>
            <w:vAlign w:val="center"/>
          </w:tcPr>
          <w:p w14:paraId="50A4DEE2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600754DF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B5C30" w:rsidRPr="0036234A" w14:paraId="7FA3496F" w14:textId="77777777" w:rsidTr="00D1755C">
        <w:tc>
          <w:tcPr>
            <w:tcW w:w="3085" w:type="dxa"/>
            <w:vAlign w:val="center"/>
          </w:tcPr>
          <w:p w14:paraId="587F2F53" w14:textId="77777777" w:rsidR="005B5C30" w:rsidRPr="00004054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上门对账服务</w:t>
            </w:r>
          </w:p>
        </w:tc>
        <w:tc>
          <w:tcPr>
            <w:tcW w:w="2835" w:type="dxa"/>
            <w:vAlign w:val="center"/>
          </w:tcPr>
          <w:p w14:paraId="224770C6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02" w:type="dxa"/>
            <w:vAlign w:val="center"/>
          </w:tcPr>
          <w:p w14:paraId="29BE2BCE" w14:textId="77777777" w:rsidR="005B5C30" w:rsidRPr="0036234A" w:rsidRDefault="005B5C30" w:rsidP="00D1755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6453218" w14:textId="77777777" w:rsidR="005B5C30" w:rsidRPr="00004054" w:rsidRDefault="005B5C30" w:rsidP="005B5C30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5DD09374" w14:textId="20BA8F20" w:rsidR="005B5C30" w:rsidRDefault="005B5C30" w:rsidP="003F3EAA">
      <w:pPr>
        <w:widowControl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C74C24">
        <w:rPr>
          <w:rFonts w:ascii="仿宋" w:eastAsia="仿宋" w:hAnsi="仿宋" w:hint="eastAsia"/>
          <w:sz w:val="32"/>
          <w:szCs w:val="32"/>
        </w:rPr>
        <w:t>注：</w:t>
      </w:r>
      <w:r>
        <w:rPr>
          <w:rFonts w:ascii="仿宋" w:eastAsia="仿宋" w:hAnsi="仿宋" w:hint="eastAsia"/>
          <w:sz w:val="32"/>
          <w:szCs w:val="32"/>
        </w:rPr>
        <w:t>服务方案无格式要求，但应满足上述所列内容，涉及要素表格的应进行填列，可在填列表格同时进行文字说明。</w:t>
      </w:r>
    </w:p>
    <w:sectPr w:rsidR="005B5C30" w:rsidSect="00F474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B5808" w14:textId="77777777" w:rsidR="002C4070" w:rsidRDefault="002C4070">
      <w:r>
        <w:separator/>
      </w:r>
    </w:p>
  </w:endnote>
  <w:endnote w:type="continuationSeparator" w:id="0">
    <w:p w14:paraId="3CD0BC99" w14:textId="77777777" w:rsidR="002C4070" w:rsidRDefault="002C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7064470"/>
    </w:sdtPr>
    <w:sdtEndPr/>
    <w:sdtContent>
      <w:p w14:paraId="4A7ED48E" w14:textId="77777777" w:rsidR="00B60409" w:rsidRDefault="005B5C3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5C30">
          <w:rPr>
            <w:noProof/>
            <w:lang w:val="zh-CN"/>
          </w:rPr>
          <w:t>16</w:t>
        </w:r>
        <w:r>
          <w:fldChar w:fldCharType="end"/>
        </w:r>
      </w:p>
    </w:sdtContent>
  </w:sdt>
  <w:p w14:paraId="7EAD3B27" w14:textId="77777777" w:rsidR="00B60409" w:rsidRDefault="002C40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D333F" w14:textId="77777777" w:rsidR="002C4070" w:rsidRDefault="002C4070">
      <w:r>
        <w:separator/>
      </w:r>
    </w:p>
  </w:footnote>
  <w:footnote w:type="continuationSeparator" w:id="0">
    <w:p w14:paraId="64AEFA6F" w14:textId="77777777" w:rsidR="002C4070" w:rsidRDefault="002C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29"/>
    <w:rsid w:val="000D3476"/>
    <w:rsid w:val="002C4070"/>
    <w:rsid w:val="003F3EAA"/>
    <w:rsid w:val="00452129"/>
    <w:rsid w:val="005B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2B0B2"/>
  <w15:docId w15:val="{B5C9545E-5C12-4125-8497-C291B8FC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5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B5C30"/>
    <w:rPr>
      <w:sz w:val="18"/>
      <w:szCs w:val="18"/>
    </w:rPr>
  </w:style>
  <w:style w:type="table" w:styleId="a5">
    <w:name w:val="Table Grid"/>
    <w:basedOn w:val="a1"/>
    <w:uiPriority w:val="59"/>
    <w:qFormat/>
    <w:rsid w:val="005B5C3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3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3E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张雅靖</dc:creator>
  <cp:keywords/>
  <dc:description/>
  <cp:lastModifiedBy>施浩洋</cp:lastModifiedBy>
  <cp:revision>3</cp:revision>
  <dcterms:created xsi:type="dcterms:W3CDTF">2025-10-31T05:59:00Z</dcterms:created>
  <dcterms:modified xsi:type="dcterms:W3CDTF">2025-10-31T06:24:00Z</dcterms:modified>
</cp:coreProperties>
</file>